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8" w:rsidRDefault="001431EA" w:rsidP="00465BC2">
      <w:pPr>
        <w:spacing w:line="360" w:lineRule="auto"/>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8240" behindDoc="0" locked="0" layoutInCell="1" allowOverlap="1">
            <wp:simplePos x="0" y="0"/>
            <wp:positionH relativeFrom="margin">
              <wp:posOffset>-79375</wp:posOffset>
            </wp:positionH>
            <wp:positionV relativeFrom="paragraph">
              <wp:posOffset>0</wp:posOffset>
            </wp:positionV>
            <wp:extent cx="5910580" cy="6337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058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1EA" w:rsidRPr="00935F84" w:rsidRDefault="001431EA" w:rsidP="001431EA">
      <w:pPr>
        <w:spacing w:line="360" w:lineRule="auto"/>
        <w:ind w:right="22"/>
        <w:jc w:val="both"/>
        <w:rPr>
          <w:rFonts w:ascii="Bookman Old Style" w:hAnsi="Bookman Old Style"/>
          <w:sz w:val="22"/>
          <w:szCs w:val="22"/>
        </w:rPr>
      </w:pPr>
      <w:r w:rsidRPr="00935F84">
        <w:rPr>
          <w:rFonts w:ascii="Bookman Old Style" w:hAnsi="Bookman Old Style" w:cs="Bookman Old Style"/>
          <w:sz w:val="22"/>
          <w:szCs w:val="22"/>
        </w:rPr>
        <w:t>ZP.271.1</w:t>
      </w:r>
      <w:r>
        <w:rPr>
          <w:rFonts w:ascii="Bookman Old Style" w:hAnsi="Bookman Old Style" w:cs="Bookman Old Style"/>
          <w:sz w:val="22"/>
          <w:szCs w:val="22"/>
        </w:rPr>
        <w:t>4</w:t>
      </w:r>
      <w:r w:rsidRPr="00935F84">
        <w:rPr>
          <w:rFonts w:ascii="Bookman Old Style" w:hAnsi="Bookman Old Style" w:cs="Bookman Old Style"/>
          <w:sz w:val="22"/>
          <w:szCs w:val="22"/>
        </w:rPr>
        <w:t>.201</w:t>
      </w:r>
      <w:r>
        <w:rPr>
          <w:rFonts w:ascii="Bookman Old Style" w:hAnsi="Bookman Old Style" w:cs="Bookman Old Style"/>
          <w:sz w:val="22"/>
          <w:szCs w:val="22"/>
        </w:rPr>
        <w:t>9</w:t>
      </w:r>
      <w:r w:rsidRPr="00935F84">
        <w:rPr>
          <w:rFonts w:ascii="Bookman Old Style" w:hAnsi="Bookman Old Style"/>
          <w:sz w:val="22"/>
          <w:szCs w:val="22"/>
        </w:rPr>
        <w:tab/>
      </w:r>
      <w:r w:rsidRPr="00935F84">
        <w:rPr>
          <w:rFonts w:ascii="Bookman Old Style" w:hAnsi="Bookman Old Style"/>
          <w:sz w:val="22"/>
          <w:szCs w:val="22"/>
        </w:rPr>
        <w:tab/>
      </w:r>
      <w:r w:rsidRPr="00935F84">
        <w:rPr>
          <w:rFonts w:ascii="Bookman Old Style" w:hAnsi="Bookman Old Style"/>
          <w:sz w:val="22"/>
          <w:szCs w:val="22"/>
        </w:rPr>
        <w:tab/>
      </w:r>
      <w:r w:rsidRPr="00935F84">
        <w:rPr>
          <w:rFonts w:ascii="Bookman Old Style" w:hAnsi="Bookman Old Style"/>
          <w:sz w:val="22"/>
          <w:szCs w:val="22"/>
        </w:rPr>
        <w:tab/>
      </w:r>
      <w:r w:rsidRPr="00935F84">
        <w:rPr>
          <w:rFonts w:ascii="Bookman Old Style" w:hAnsi="Bookman Old Style"/>
          <w:sz w:val="22"/>
          <w:szCs w:val="22"/>
        </w:rPr>
        <w:tab/>
        <w:t xml:space="preserve">               Krosno, dnia </w:t>
      </w:r>
      <w:r>
        <w:rPr>
          <w:rFonts w:ascii="Bookman Old Style" w:hAnsi="Bookman Old Style"/>
          <w:sz w:val="22"/>
          <w:szCs w:val="22"/>
        </w:rPr>
        <w:t>18</w:t>
      </w:r>
      <w:r w:rsidRPr="00935F84">
        <w:rPr>
          <w:rFonts w:ascii="Bookman Old Style" w:hAnsi="Bookman Old Style"/>
          <w:sz w:val="22"/>
          <w:szCs w:val="22"/>
        </w:rPr>
        <w:t>.</w:t>
      </w:r>
      <w:r>
        <w:rPr>
          <w:rFonts w:ascii="Bookman Old Style" w:hAnsi="Bookman Old Style"/>
          <w:sz w:val="22"/>
          <w:szCs w:val="22"/>
        </w:rPr>
        <w:t>0</w:t>
      </w:r>
      <w:r w:rsidRPr="00935F84">
        <w:rPr>
          <w:rFonts w:ascii="Bookman Old Style" w:hAnsi="Bookman Old Style"/>
          <w:sz w:val="22"/>
          <w:szCs w:val="22"/>
        </w:rPr>
        <w:t>2.201</w:t>
      </w:r>
      <w:r>
        <w:rPr>
          <w:rFonts w:ascii="Bookman Old Style" w:hAnsi="Bookman Old Style"/>
          <w:sz w:val="22"/>
          <w:szCs w:val="22"/>
        </w:rPr>
        <w:t>9</w:t>
      </w:r>
      <w:r w:rsidRPr="00935F84">
        <w:rPr>
          <w:rFonts w:ascii="Bookman Old Style" w:hAnsi="Bookman Old Style"/>
          <w:sz w:val="22"/>
          <w:szCs w:val="22"/>
        </w:rPr>
        <w:t>r.</w:t>
      </w:r>
    </w:p>
    <w:p w:rsidR="00EB4007" w:rsidRDefault="00EB4007" w:rsidP="00465BC2">
      <w:pPr>
        <w:spacing w:line="360" w:lineRule="auto"/>
        <w:jc w:val="both"/>
        <w:rPr>
          <w:rFonts w:ascii="Bookman Old Style" w:hAnsi="Bookman Old Style"/>
          <w:sz w:val="22"/>
          <w:szCs w:val="22"/>
        </w:rPr>
      </w:pPr>
    </w:p>
    <w:p w:rsidR="00E316A7" w:rsidRPr="007D4322" w:rsidRDefault="00E316A7" w:rsidP="00465BC2">
      <w:pPr>
        <w:spacing w:line="360" w:lineRule="auto"/>
        <w:jc w:val="both"/>
        <w:rPr>
          <w:rFonts w:ascii="Bookman Old Style" w:hAnsi="Bookman Old Style"/>
          <w:sz w:val="22"/>
          <w:szCs w:val="22"/>
        </w:rPr>
      </w:pPr>
    </w:p>
    <w:p w:rsidR="005B743C" w:rsidRPr="000F1C25" w:rsidRDefault="000F1C25" w:rsidP="00E316A7">
      <w:pPr>
        <w:spacing w:line="360" w:lineRule="auto"/>
        <w:jc w:val="center"/>
        <w:rPr>
          <w:rFonts w:ascii="Bookman Old Style" w:hAnsi="Bookman Old Style"/>
          <w:b/>
          <w:sz w:val="22"/>
          <w:szCs w:val="22"/>
          <w:u w:val="single"/>
        </w:rPr>
      </w:pPr>
      <w:r w:rsidRPr="000F1C25">
        <w:rPr>
          <w:rFonts w:ascii="Bookman Old Style" w:hAnsi="Bookman Old Style"/>
          <w:b/>
          <w:sz w:val="22"/>
          <w:szCs w:val="22"/>
          <w:u w:val="single"/>
        </w:rPr>
        <w:t>Informacja o unieważnieniu postępowania</w:t>
      </w:r>
    </w:p>
    <w:p w:rsidR="00E316A7" w:rsidRPr="007D4322" w:rsidRDefault="00E316A7" w:rsidP="00465BC2">
      <w:pPr>
        <w:spacing w:line="360" w:lineRule="auto"/>
        <w:jc w:val="both"/>
        <w:rPr>
          <w:rFonts w:ascii="Bookman Old Style" w:hAnsi="Bookman Old Style"/>
          <w:sz w:val="22"/>
          <w:szCs w:val="22"/>
        </w:rPr>
      </w:pPr>
    </w:p>
    <w:p w:rsidR="001431EA" w:rsidRPr="00B50F51" w:rsidRDefault="008E568A" w:rsidP="001431EA">
      <w:pPr>
        <w:spacing w:line="360" w:lineRule="auto"/>
        <w:ind w:firstLine="567"/>
        <w:jc w:val="both"/>
        <w:outlineLvl w:val="0"/>
        <w:rPr>
          <w:rFonts w:ascii="Bookman Old Style" w:hAnsi="Bookman Old Style"/>
          <w:b/>
          <w:bCs/>
          <w:color w:val="000000"/>
          <w:sz w:val="22"/>
          <w:szCs w:val="22"/>
        </w:rPr>
      </w:pPr>
      <w:r>
        <w:rPr>
          <w:rFonts w:ascii="Bookman Old Style" w:hAnsi="Bookman Old Style"/>
          <w:sz w:val="22"/>
          <w:szCs w:val="22"/>
        </w:rPr>
        <w:t>W</w:t>
      </w:r>
      <w:r w:rsidRPr="00BC33DB">
        <w:rPr>
          <w:rFonts w:ascii="Bookman Old Style" w:hAnsi="Bookman Old Style"/>
          <w:sz w:val="22"/>
          <w:szCs w:val="22"/>
        </w:rPr>
        <w:t xml:space="preserve"> dniu </w:t>
      </w:r>
      <w:r w:rsidR="001431EA" w:rsidRPr="00B50F51">
        <w:rPr>
          <w:rFonts w:ascii="Bookman Old Style" w:hAnsi="Bookman Old Style"/>
          <w:sz w:val="22"/>
          <w:szCs w:val="22"/>
        </w:rPr>
        <w:t>30.01.2019 roku dokonano otwarcia ofert złożonych w postępowaniu pn.</w:t>
      </w:r>
      <w:r w:rsidR="001431EA" w:rsidRPr="00B50F51">
        <w:rPr>
          <w:rFonts w:ascii="Bookman Old Style" w:hAnsi="Bookman Old Style"/>
          <w:b/>
          <w:sz w:val="22"/>
          <w:szCs w:val="22"/>
        </w:rPr>
        <w:t xml:space="preserve"> </w:t>
      </w:r>
      <w:r w:rsidR="001431EA" w:rsidRPr="00B50F51">
        <w:rPr>
          <w:rFonts w:ascii="Bookman Old Style" w:hAnsi="Bookman Old Style"/>
          <w:b/>
          <w:color w:val="000000"/>
          <w:sz w:val="22"/>
          <w:szCs w:val="22"/>
        </w:rPr>
        <w:t>Zakup i dostawa tabletów i materiałów szkoleniowych do krośnieńskich szkół podstawowych w</w:t>
      </w:r>
      <w:r w:rsidR="001431EA">
        <w:rPr>
          <w:rFonts w:ascii="Bookman Old Style" w:hAnsi="Bookman Old Style"/>
          <w:b/>
          <w:color w:val="000000"/>
          <w:sz w:val="22"/>
          <w:szCs w:val="22"/>
        </w:rPr>
        <w:t xml:space="preserve"> </w:t>
      </w:r>
      <w:r w:rsidR="001431EA" w:rsidRPr="00B50F51">
        <w:rPr>
          <w:rFonts w:ascii="Bookman Old Style" w:hAnsi="Bookman Old Style"/>
          <w:b/>
          <w:color w:val="000000"/>
          <w:sz w:val="22"/>
          <w:szCs w:val="22"/>
        </w:rPr>
        <w:t xml:space="preserve">ramach </w:t>
      </w:r>
      <w:r w:rsidR="001431EA" w:rsidRPr="00B50F51">
        <w:rPr>
          <w:rFonts w:ascii="Bookman Old Style" w:hAnsi="Bookman Old Style"/>
          <w:b/>
          <w:sz w:val="22"/>
          <w:szCs w:val="22"/>
        </w:rPr>
        <w:t>projektu pn. „Moja wiedza – moja przyszłość” realizowanego w</w:t>
      </w:r>
      <w:r w:rsidR="001431EA">
        <w:rPr>
          <w:rFonts w:ascii="Bookman Old Style" w:hAnsi="Bookman Old Style"/>
          <w:b/>
          <w:sz w:val="22"/>
          <w:szCs w:val="22"/>
        </w:rPr>
        <w:t xml:space="preserve"> </w:t>
      </w:r>
      <w:r w:rsidR="001431EA" w:rsidRPr="00B50F51">
        <w:rPr>
          <w:rFonts w:ascii="Bookman Old Style" w:hAnsi="Bookman Old Style"/>
          <w:b/>
          <w:sz w:val="22"/>
          <w:szCs w:val="22"/>
        </w:rPr>
        <w:t>ramach Regionalnego Programu Operacyjnego Województwa Podkarpackiego 2014-2020, Oś</w:t>
      </w:r>
      <w:r w:rsidR="001431EA">
        <w:rPr>
          <w:rFonts w:ascii="Bookman Old Style" w:hAnsi="Bookman Old Style"/>
          <w:b/>
          <w:sz w:val="22"/>
          <w:szCs w:val="22"/>
        </w:rPr>
        <w:t> </w:t>
      </w:r>
      <w:r w:rsidR="001431EA" w:rsidRPr="00B50F51">
        <w:rPr>
          <w:rFonts w:ascii="Bookman Old Style" w:hAnsi="Bookman Old Style"/>
          <w:b/>
          <w:sz w:val="22"/>
          <w:szCs w:val="22"/>
        </w:rPr>
        <w:t>Priorytetowa IX Jakość edukacji i</w:t>
      </w:r>
      <w:r w:rsidR="001431EA">
        <w:rPr>
          <w:rFonts w:ascii="Bookman Old Style" w:hAnsi="Bookman Old Style"/>
          <w:b/>
          <w:sz w:val="22"/>
          <w:szCs w:val="22"/>
        </w:rPr>
        <w:t xml:space="preserve"> </w:t>
      </w:r>
      <w:r w:rsidR="001431EA" w:rsidRPr="00B50F51">
        <w:rPr>
          <w:rFonts w:ascii="Bookman Old Style" w:hAnsi="Bookman Old Style"/>
          <w:b/>
          <w:sz w:val="22"/>
          <w:szCs w:val="22"/>
        </w:rPr>
        <w:t>kompetencji w</w:t>
      </w:r>
      <w:r w:rsidR="001431EA">
        <w:rPr>
          <w:rFonts w:ascii="Bookman Old Style" w:hAnsi="Bookman Old Style"/>
          <w:b/>
          <w:sz w:val="22"/>
          <w:szCs w:val="22"/>
        </w:rPr>
        <w:t xml:space="preserve"> </w:t>
      </w:r>
      <w:r w:rsidR="001431EA" w:rsidRPr="00B50F51">
        <w:rPr>
          <w:rFonts w:ascii="Bookman Old Style" w:hAnsi="Bookman Old Style"/>
          <w:b/>
          <w:sz w:val="22"/>
          <w:szCs w:val="22"/>
        </w:rPr>
        <w:t xml:space="preserve">regionie, Działanie 9.2 Poprawa jakości kształcenia ogólnego. </w:t>
      </w:r>
    </w:p>
    <w:p w:rsidR="001431EA" w:rsidRPr="00B50F51" w:rsidRDefault="001431EA" w:rsidP="001431EA">
      <w:pPr>
        <w:spacing w:line="360" w:lineRule="auto"/>
        <w:ind w:right="22"/>
        <w:jc w:val="both"/>
        <w:rPr>
          <w:rFonts w:ascii="Bookman Old Style" w:hAnsi="Bookman Old Style"/>
          <w:sz w:val="22"/>
          <w:szCs w:val="22"/>
        </w:rPr>
      </w:pPr>
      <w:r w:rsidRPr="00B50F51">
        <w:rPr>
          <w:rFonts w:ascii="Bookman Old Style" w:hAnsi="Bookman Old Style"/>
          <w:sz w:val="22"/>
          <w:szCs w:val="22"/>
        </w:rPr>
        <w:t>Na wykonanie przedmiotowego zamówienia wpłynęły 3 oferty złożone przez następujących wykonawców:</w:t>
      </w:r>
    </w:p>
    <w:p w:rsidR="001431EA" w:rsidRPr="00B50F51" w:rsidRDefault="001431EA" w:rsidP="001431EA">
      <w:pPr>
        <w:numPr>
          <w:ilvl w:val="0"/>
          <w:numId w:val="37"/>
        </w:numPr>
        <w:spacing w:line="360" w:lineRule="auto"/>
        <w:ind w:left="426" w:right="23" w:hanging="426"/>
        <w:jc w:val="both"/>
        <w:rPr>
          <w:rFonts w:ascii="Bookman Old Style" w:hAnsi="Bookman Old Style"/>
          <w:sz w:val="22"/>
          <w:szCs w:val="22"/>
        </w:rPr>
      </w:pPr>
      <w:r w:rsidRPr="00B50F51">
        <w:rPr>
          <w:rFonts w:ascii="Bookman Old Style" w:hAnsi="Bookman Old Style"/>
          <w:sz w:val="22"/>
          <w:szCs w:val="22"/>
        </w:rPr>
        <w:t xml:space="preserve">Web-Profit Maciej </w:t>
      </w:r>
      <w:proofErr w:type="spellStart"/>
      <w:r w:rsidRPr="00B50F51">
        <w:rPr>
          <w:rFonts w:ascii="Bookman Old Style" w:hAnsi="Bookman Old Style"/>
          <w:sz w:val="22"/>
          <w:szCs w:val="22"/>
        </w:rPr>
        <w:t>Kuźlik</w:t>
      </w:r>
      <w:proofErr w:type="spellEnd"/>
      <w:r w:rsidRPr="00B50F51">
        <w:rPr>
          <w:rFonts w:ascii="Bookman Old Style" w:hAnsi="Bookman Old Style"/>
          <w:sz w:val="22"/>
          <w:szCs w:val="22"/>
        </w:rPr>
        <w:t>, ul. Spokojna 18, 41-940 Piekary Śląskie,</w:t>
      </w:r>
    </w:p>
    <w:p w:rsidR="001431EA" w:rsidRPr="00B50F51" w:rsidRDefault="001431EA" w:rsidP="001431EA">
      <w:pPr>
        <w:numPr>
          <w:ilvl w:val="0"/>
          <w:numId w:val="37"/>
        </w:numPr>
        <w:spacing w:line="360" w:lineRule="auto"/>
        <w:ind w:left="426" w:right="23" w:hanging="426"/>
        <w:jc w:val="both"/>
        <w:rPr>
          <w:rFonts w:ascii="Bookman Old Style" w:hAnsi="Bookman Old Style"/>
          <w:sz w:val="22"/>
          <w:szCs w:val="22"/>
        </w:rPr>
      </w:pPr>
      <w:r w:rsidRPr="00B50F51">
        <w:rPr>
          <w:rFonts w:ascii="Bookman Old Style" w:hAnsi="Bookman Old Style"/>
          <w:sz w:val="22"/>
          <w:szCs w:val="22"/>
        </w:rPr>
        <w:t>SUNTAR Sp. z o. o., ul. Boya Żeleńskiego 5B, 33-100 Tarnów,</w:t>
      </w:r>
    </w:p>
    <w:p w:rsidR="001431EA" w:rsidRPr="00B50F51" w:rsidRDefault="001431EA" w:rsidP="001431EA">
      <w:pPr>
        <w:numPr>
          <w:ilvl w:val="0"/>
          <w:numId w:val="37"/>
        </w:numPr>
        <w:spacing w:line="360" w:lineRule="auto"/>
        <w:ind w:left="426" w:right="23" w:hanging="426"/>
        <w:jc w:val="both"/>
        <w:rPr>
          <w:rFonts w:ascii="Bookman Old Style" w:hAnsi="Bookman Old Style"/>
          <w:sz w:val="22"/>
          <w:szCs w:val="22"/>
        </w:rPr>
      </w:pPr>
      <w:r w:rsidRPr="00B50F51">
        <w:rPr>
          <w:rFonts w:ascii="Bookman Old Style" w:hAnsi="Bookman Old Style"/>
          <w:sz w:val="22"/>
          <w:szCs w:val="22"/>
        </w:rPr>
        <w:t xml:space="preserve">KAWICOM Systemy Komputerowe s.c. Daniel </w:t>
      </w:r>
      <w:proofErr w:type="spellStart"/>
      <w:r w:rsidRPr="00B50F51">
        <w:rPr>
          <w:rFonts w:ascii="Bookman Old Style" w:hAnsi="Bookman Old Style"/>
          <w:sz w:val="22"/>
          <w:szCs w:val="22"/>
        </w:rPr>
        <w:t>Kasieczko</w:t>
      </w:r>
      <w:proofErr w:type="spellEnd"/>
      <w:r w:rsidRPr="00B50F51">
        <w:rPr>
          <w:rFonts w:ascii="Bookman Old Style" w:hAnsi="Bookman Old Style"/>
          <w:sz w:val="22"/>
          <w:szCs w:val="22"/>
        </w:rPr>
        <w:t xml:space="preserve">, Grzegorz Wilk, </w:t>
      </w:r>
      <w:r w:rsidRPr="00B50F51">
        <w:rPr>
          <w:rFonts w:ascii="Bookman Old Style" w:hAnsi="Bookman Old Style"/>
          <w:sz w:val="22"/>
          <w:szCs w:val="22"/>
        </w:rPr>
        <w:br/>
        <w:t>ul. Przemysłowa 15, 37-100 Łańcut.</w:t>
      </w:r>
    </w:p>
    <w:p w:rsidR="001431EA" w:rsidRPr="00B50F51" w:rsidRDefault="001431EA" w:rsidP="001431EA">
      <w:pPr>
        <w:tabs>
          <w:tab w:val="num" w:pos="360"/>
        </w:tabs>
        <w:ind w:right="23"/>
        <w:jc w:val="both"/>
        <w:rPr>
          <w:rFonts w:ascii="Bookman Old Style" w:hAnsi="Bookman Old Style"/>
          <w:b/>
          <w:sz w:val="22"/>
          <w:szCs w:val="22"/>
        </w:rPr>
      </w:pPr>
    </w:p>
    <w:p w:rsidR="001431EA" w:rsidRPr="00B50F51" w:rsidRDefault="001431EA" w:rsidP="001431EA">
      <w:pPr>
        <w:tabs>
          <w:tab w:val="num" w:pos="360"/>
        </w:tabs>
        <w:spacing w:line="360" w:lineRule="auto"/>
        <w:ind w:right="22"/>
        <w:jc w:val="both"/>
        <w:rPr>
          <w:rFonts w:ascii="Bookman Old Style" w:hAnsi="Bookman Old Style"/>
          <w:b/>
          <w:sz w:val="22"/>
          <w:szCs w:val="22"/>
        </w:rPr>
      </w:pPr>
      <w:r w:rsidRPr="00B50F51">
        <w:rPr>
          <w:rFonts w:ascii="Bookman Old Style" w:hAnsi="Bookman Old Style"/>
          <w:b/>
          <w:sz w:val="22"/>
          <w:szCs w:val="22"/>
        </w:rPr>
        <w:t>Ceny i zaoferowany termin dostawy:</w:t>
      </w:r>
    </w:p>
    <w:p w:rsidR="001431EA" w:rsidRPr="00B50F51" w:rsidRDefault="001431EA" w:rsidP="001431EA">
      <w:pPr>
        <w:numPr>
          <w:ilvl w:val="0"/>
          <w:numId w:val="6"/>
        </w:numPr>
        <w:tabs>
          <w:tab w:val="num" w:pos="720"/>
        </w:tabs>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Wykonawca nr 1: </w:t>
      </w:r>
    </w:p>
    <w:p w:rsidR="001431EA" w:rsidRPr="00B50F51" w:rsidRDefault="001431EA" w:rsidP="001431EA">
      <w:pPr>
        <w:spacing w:line="360" w:lineRule="auto"/>
        <w:ind w:left="720" w:right="22"/>
        <w:jc w:val="both"/>
        <w:rPr>
          <w:rFonts w:ascii="Bookman Old Style" w:hAnsi="Bookman Old Style"/>
          <w:sz w:val="22"/>
          <w:szCs w:val="22"/>
        </w:rPr>
      </w:pPr>
      <w:r w:rsidRPr="00B50F51">
        <w:rPr>
          <w:rFonts w:ascii="Bookman Old Style" w:hAnsi="Bookman Old Style"/>
          <w:sz w:val="22"/>
          <w:szCs w:val="22"/>
        </w:rPr>
        <w:t xml:space="preserve">ZADANIE I: </w:t>
      </w:r>
    </w:p>
    <w:p w:rsidR="001431EA" w:rsidRPr="00B50F51" w:rsidRDefault="001431EA" w:rsidP="001431EA">
      <w:pPr>
        <w:numPr>
          <w:ilvl w:val="0"/>
          <w:numId w:val="38"/>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cena: </w:t>
      </w:r>
      <w:r w:rsidRPr="00B50F51">
        <w:rPr>
          <w:rFonts w:ascii="Bookman Old Style" w:hAnsi="Bookman Old Style"/>
          <w:sz w:val="22"/>
          <w:szCs w:val="22"/>
          <w:u w:val="single"/>
        </w:rPr>
        <w:t>185 086,00 zł,</w:t>
      </w:r>
    </w:p>
    <w:p w:rsidR="001431EA" w:rsidRPr="00B50F51" w:rsidRDefault="001431EA" w:rsidP="001431EA">
      <w:pPr>
        <w:numPr>
          <w:ilvl w:val="0"/>
          <w:numId w:val="38"/>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termin dostawy: </w:t>
      </w:r>
      <w:r w:rsidRPr="00B50F51">
        <w:rPr>
          <w:rFonts w:ascii="Bookman Old Style" w:hAnsi="Bookman Old Style"/>
          <w:sz w:val="22"/>
          <w:szCs w:val="22"/>
          <w:u w:val="single"/>
        </w:rPr>
        <w:t>10 dni roboczych,</w:t>
      </w:r>
    </w:p>
    <w:p w:rsidR="001431EA" w:rsidRPr="00B50F51" w:rsidRDefault="001431EA" w:rsidP="001431EA">
      <w:pPr>
        <w:numPr>
          <w:ilvl w:val="0"/>
          <w:numId w:val="6"/>
        </w:numPr>
        <w:tabs>
          <w:tab w:val="num" w:pos="720"/>
        </w:tabs>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Wykonawca nr 2: </w:t>
      </w:r>
    </w:p>
    <w:p w:rsidR="001431EA" w:rsidRPr="00B50F51" w:rsidRDefault="001431EA" w:rsidP="001431EA">
      <w:pPr>
        <w:spacing w:line="360" w:lineRule="auto"/>
        <w:ind w:left="720" w:right="22"/>
        <w:jc w:val="both"/>
        <w:rPr>
          <w:rFonts w:ascii="Bookman Old Style" w:hAnsi="Bookman Old Style"/>
          <w:sz w:val="22"/>
          <w:szCs w:val="22"/>
        </w:rPr>
      </w:pPr>
      <w:r w:rsidRPr="00B50F51">
        <w:rPr>
          <w:rFonts w:ascii="Bookman Old Style" w:hAnsi="Bookman Old Style"/>
          <w:sz w:val="22"/>
          <w:szCs w:val="22"/>
        </w:rPr>
        <w:t xml:space="preserve">ZADANIE I: </w:t>
      </w:r>
    </w:p>
    <w:p w:rsidR="001431EA" w:rsidRPr="00767CCF" w:rsidRDefault="001431EA" w:rsidP="001431EA">
      <w:pPr>
        <w:numPr>
          <w:ilvl w:val="0"/>
          <w:numId w:val="39"/>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cena: </w:t>
      </w:r>
      <w:r w:rsidRPr="00B50F51">
        <w:rPr>
          <w:rFonts w:ascii="Bookman Old Style" w:hAnsi="Bookman Old Style"/>
          <w:sz w:val="22"/>
          <w:szCs w:val="22"/>
          <w:u w:val="single"/>
        </w:rPr>
        <w:t>187 950,00 zł,</w:t>
      </w:r>
    </w:p>
    <w:p w:rsidR="001431EA" w:rsidRPr="00767CCF" w:rsidRDefault="001431EA" w:rsidP="001431EA">
      <w:pPr>
        <w:numPr>
          <w:ilvl w:val="0"/>
          <w:numId w:val="39"/>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termin dostawy: </w:t>
      </w:r>
      <w:r w:rsidRPr="00B50F51">
        <w:rPr>
          <w:rFonts w:ascii="Bookman Old Style" w:hAnsi="Bookman Old Style"/>
          <w:sz w:val="22"/>
          <w:szCs w:val="22"/>
          <w:u w:val="single"/>
        </w:rPr>
        <w:t>10 dni roboczych,</w:t>
      </w:r>
    </w:p>
    <w:p w:rsidR="001431EA" w:rsidRPr="00B50F51" w:rsidRDefault="001431EA" w:rsidP="001431EA">
      <w:pPr>
        <w:numPr>
          <w:ilvl w:val="0"/>
          <w:numId w:val="6"/>
        </w:numPr>
        <w:tabs>
          <w:tab w:val="num" w:pos="720"/>
        </w:tabs>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Wykonawca nr 3: </w:t>
      </w:r>
    </w:p>
    <w:p w:rsidR="001431EA" w:rsidRPr="00B50F51" w:rsidRDefault="001431EA" w:rsidP="001431EA">
      <w:pPr>
        <w:spacing w:line="360" w:lineRule="auto"/>
        <w:ind w:left="720" w:right="22"/>
        <w:jc w:val="both"/>
        <w:rPr>
          <w:rFonts w:ascii="Bookman Old Style" w:hAnsi="Bookman Old Style"/>
          <w:sz w:val="22"/>
          <w:szCs w:val="22"/>
        </w:rPr>
      </w:pPr>
      <w:r w:rsidRPr="00B50F51">
        <w:rPr>
          <w:rFonts w:ascii="Bookman Old Style" w:hAnsi="Bookman Old Style"/>
          <w:sz w:val="22"/>
          <w:szCs w:val="22"/>
        </w:rPr>
        <w:t xml:space="preserve">ZADANIE I: </w:t>
      </w:r>
    </w:p>
    <w:p w:rsidR="001431EA" w:rsidRPr="00B50F51" w:rsidRDefault="001431EA" w:rsidP="001431EA">
      <w:pPr>
        <w:numPr>
          <w:ilvl w:val="0"/>
          <w:numId w:val="40"/>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cena: </w:t>
      </w:r>
      <w:r w:rsidRPr="00B50F51">
        <w:rPr>
          <w:rFonts w:ascii="Bookman Old Style" w:hAnsi="Bookman Old Style"/>
          <w:sz w:val="22"/>
          <w:szCs w:val="22"/>
          <w:u w:val="single"/>
        </w:rPr>
        <w:t>176 494,00 zł,</w:t>
      </w:r>
    </w:p>
    <w:p w:rsidR="001431EA" w:rsidRPr="00B50F51" w:rsidRDefault="001431EA" w:rsidP="001431EA">
      <w:pPr>
        <w:numPr>
          <w:ilvl w:val="0"/>
          <w:numId w:val="40"/>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termin dostawy: </w:t>
      </w:r>
      <w:r w:rsidRPr="00B50F51">
        <w:rPr>
          <w:rFonts w:ascii="Bookman Old Style" w:hAnsi="Bookman Old Style"/>
          <w:sz w:val="22"/>
          <w:szCs w:val="22"/>
          <w:u w:val="single"/>
        </w:rPr>
        <w:t>10 dni roboczych,</w:t>
      </w:r>
    </w:p>
    <w:p w:rsidR="001431EA" w:rsidRPr="00B50F51" w:rsidRDefault="001431EA" w:rsidP="001431EA">
      <w:pPr>
        <w:spacing w:line="360" w:lineRule="auto"/>
        <w:ind w:left="720" w:right="22"/>
        <w:jc w:val="both"/>
        <w:rPr>
          <w:rFonts w:ascii="Bookman Old Style" w:hAnsi="Bookman Old Style"/>
          <w:sz w:val="22"/>
          <w:szCs w:val="22"/>
        </w:rPr>
      </w:pPr>
      <w:r w:rsidRPr="00B50F51">
        <w:rPr>
          <w:rFonts w:ascii="Bookman Old Style" w:hAnsi="Bookman Old Style"/>
          <w:sz w:val="22"/>
          <w:szCs w:val="22"/>
        </w:rPr>
        <w:t xml:space="preserve">ZADANIE II: </w:t>
      </w:r>
    </w:p>
    <w:p w:rsidR="001431EA" w:rsidRPr="00B50F51" w:rsidRDefault="001431EA" w:rsidP="001431EA">
      <w:pPr>
        <w:numPr>
          <w:ilvl w:val="0"/>
          <w:numId w:val="41"/>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cena: </w:t>
      </w:r>
      <w:r w:rsidRPr="00B50F51">
        <w:rPr>
          <w:rFonts w:ascii="Bookman Old Style" w:hAnsi="Bookman Old Style"/>
          <w:sz w:val="22"/>
          <w:szCs w:val="22"/>
          <w:u w:val="single"/>
        </w:rPr>
        <w:t>43 187,76 zł,</w:t>
      </w:r>
    </w:p>
    <w:p w:rsidR="001431EA" w:rsidRPr="00B50F51" w:rsidRDefault="001431EA" w:rsidP="001431EA">
      <w:pPr>
        <w:numPr>
          <w:ilvl w:val="0"/>
          <w:numId w:val="41"/>
        </w:numPr>
        <w:spacing w:line="360" w:lineRule="auto"/>
        <w:ind w:right="22"/>
        <w:jc w:val="both"/>
        <w:rPr>
          <w:rFonts w:ascii="Bookman Old Style" w:hAnsi="Bookman Old Style"/>
          <w:sz w:val="22"/>
          <w:szCs w:val="22"/>
        </w:rPr>
      </w:pPr>
      <w:r w:rsidRPr="00B50F51">
        <w:rPr>
          <w:rFonts w:ascii="Bookman Old Style" w:hAnsi="Bookman Old Style"/>
          <w:sz w:val="22"/>
          <w:szCs w:val="22"/>
        </w:rPr>
        <w:t xml:space="preserve">termin dostawy: </w:t>
      </w:r>
      <w:r w:rsidRPr="00B50F51">
        <w:rPr>
          <w:rFonts w:ascii="Bookman Old Style" w:hAnsi="Bookman Old Style"/>
          <w:sz w:val="22"/>
          <w:szCs w:val="22"/>
          <w:u w:val="single"/>
        </w:rPr>
        <w:t>14 dni roboczych.</w:t>
      </w:r>
    </w:p>
    <w:p w:rsidR="001431EA" w:rsidRPr="00B50F51" w:rsidRDefault="001431EA" w:rsidP="001431EA">
      <w:pPr>
        <w:spacing w:line="360" w:lineRule="auto"/>
        <w:jc w:val="both"/>
        <w:rPr>
          <w:rFonts w:ascii="Bookman Old Style" w:hAnsi="Bookman Old Style"/>
          <w:b/>
          <w:sz w:val="22"/>
          <w:szCs w:val="22"/>
        </w:rPr>
      </w:pPr>
      <w:r w:rsidRPr="00B50F51">
        <w:rPr>
          <w:rFonts w:ascii="Bookman Old Style" w:hAnsi="Bookman Old Style"/>
          <w:b/>
          <w:sz w:val="22"/>
          <w:szCs w:val="22"/>
        </w:rPr>
        <w:lastRenderedPageBreak/>
        <w:t>Zadanie I:</w:t>
      </w:r>
    </w:p>
    <w:p w:rsidR="001431EA" w:rsidRPr="00B50F51" w:rsidRDefault="001431EA" w:rsidP="001431EA">
      <w:pPr>
        <w:spacing w:line="360" w:lineRule="auto"/>
        <w:ind w:firstLine="567"/>
        <w:jc w:val="both"/>
        <w:rPr>
          <w:rFonts w:ascii="Bookman Old Style" w:hAnsi="Bookman Old Style"/>
          <w:sz w:val="22"/>
          <w:szCs w:val="22"/>
        </w:rPr>
      </w:pPr>
      <w:r w:rsidRPr="00B50F51">
        <w:rPr>
          <w:rFonts w:ascii="Bookman Old Style" w:hAnsi="Bookman Old Style"/>
          <w:sz w:val="22"/>
          <w:szCs w:val="22"/>
        </w:rPr>
        <w:t>Zamawiający w załączniku do SIWZ (formularz oferty – Zadanie I) w pozycji dotyczącej gwarancji zawarł wymóg, aby wykonawcy dołączyli do oferty oświadczenie producenta</w:t>
      </w:r>
      <w:r w:rsidRPr="00B50F51">
        <w:rPr>
          <w:rFonts w:ascii="Bookman Old Style" w:hAnsi="Bookman Old Style"/>
          <w:color w:val="000000"/>
          <w:sz w:val="22"/>
          <w:szCs w:val="22"/>
        </w:rPr>
        <w:t xml:space="preserve"> poświadczające, że w przypadku niewywiązania się z zobowiązań gwarancyjnych oferenta lub firmy serwisującej, producent przejmie na siebie wszelkie zobowiązania gwarancyjne. W odpowiedzi na pytanie jednego z wykonawców dopuszczone zostało również oświadczenie wykonawcy, że serwis będzie realizowany przez autoryzowanego partnera serwisowego producenta lub bezpośrednio przez producenta. Jednakże ani w SIWZ (oprócz wspomnianego wyżej załącznika), ani w ogłoszeniu Zamawiający - w</w:t>
      </w:r>
      <w:r w:rsidRPr="00B50F51">
        <w:rPr>
          <w:rFonts w:ascii="Bookman Old Style" w:hAnsi="Bookman Old Style"/>
          <w:sz w:val="22"/>
          <w:szCs w:val="22"/>
        </w:rPr>
        <w:t xml:space="preserve"> celu potwierdzenia, że oferowane dostawy odpowiadają wymaganiom Zamawiającego - </w:t>
      </w:r>
      <w:r w:rsidRPr="00B50F51">
        <w:rPr>
          <w:rFonts w:ascii="Bookman Old Style" w:hAnsi="Bookman Old Style"/>
          <w:color w:val="000000"/>
          <w:sz w:val="22"/>
          <w:szCs w:val="22"/>
        </w:rPr>
        <w:t xml:space="preserve">nie </w:t>
      </w:r>
      <w:r w:rsidRPr="00B50F51">
        <w:rPr>
          <w:rFonts w:ascii="Bookman Old Style" w:hAnsi="Bookman Old Style"/>
          <w:sz w:val="22"/>
          <w:szCs w:val="22"/>
        </w:rPr>
        <w:t>żądał, aby wykonawcy złożyli na wezwanie lub dołączyli do oferty ww.</w:t>
      </w:r>
      <w:r>
        <w:rPr>
          <w:rFonts w:ascii="Bookman Old Style" w:hAnsi="Bookman Old Style"/>
          <w:sz w:val="22"/>
          <w:szCs w:val="22"/>
        </w:rPr>
        <w:t xml:space="preserve"> </w:t>
      </w:r>
      <w:r w:rsidRPr="00B50F51">
        <w:rPr>
          <w:rFonts w:ascii="Bookman Old Style" w:hAnsi="Bookman Old Style"/>
          <w:sz w:val="22"/>
          <w:szCs w:val="22"/>
        </w:rPr>
        <w:t xml:space="preserve">dokumenty. </w:t>
      </w:r>
    </w:p>
    <w:p w:rsidR="001431EA" w:rsidRPr="00B50F51" w:rsidRDefault="001431EA" w:rsidP="001431EA">
      <w:pPr>
        <w:spacing w:line="360" w:lineRule="auto"/>
        <w:ind w:firstLine="567"/>
        <w:jc w:val="both"/>
        <w:rPr>
          <w:rFonts w:ascii="Bookman Old Style" w:hAnsi="Bookman Old Style"/>
          <w:sz w:val="22"/>
          <w:szCs w:val="22"/>
        </w:rPr>
      </w:pPr>
      <w:r w:rsidRPr="00B50F51">
        <w:rPr>
          <w:rFonts w:ascii="Bookman Old Style" w:hAnsi="Bookman Old Style"/>
          <w:sz w:val="22"/>
          <w:szCs w:val="22"/>
        </w:rPr>
        <w:t xml:space="preserve">Ustawa Prawo zamówień publicznych nie pozwala na przyjęcie prymatu zapisów SIWZ nad treścią ogłoszenia - </w:t>
      </w:r>
      <w:r w:rsidRPr="00B50F51">
        <w:rPr>
          <w:rFonts w:ascii="Bookman Old Style" w:hAnsi="Bookman Old Style" w:cs="Arial"/>
          <w:sz w:val="22"/>
          <w:szCs w:val="22"/>
        </w:rPr>
        <w:t xml:space="preserve">treść tych dokumentów powinna być ze sobą zgodna. </w:t>
      </w:r>
      <w:r w:rsidRPr="00B50F51">
        <w:rPr>
          <w:rFonts w:ascii="Bookman Old Style" w:hAnsi="Bookman Old Style"/>
          <w:sz w:val="22"/>
          <w:szCs w:val="22"/>
        </w:rPr>
        <w:t>Są to dokumenty, które powinny być ze sobą spójne i w sposób jednakowy opisywać np. sposób oceny spełniania warunków udziału w postępowaniu wymieniając przy tym taki sam katalog dokumentów, które należy wraz z ofertą przedłożyć (zob. wyrok Krajowej Izby Odwoławczej z dnia 2 czerwca 2010 r., sygn. KIO/UZP 939/10 oraz uchwała Krajowej Izby Odwoławczej z dnia 15 lutego 2018 r., s</w:t>
      </w:r>
      <w:r w:rsidRPr="00B50F51">
        <w:rPr>
          <w:rFonts w:ascii="Bookman Old Style" w:hAnsi="Bookman Old Style" w:cs="Arial"/>
          <w:sz w:val="22"/>
          <w:szCs w:val="22"/>
        </w:rPr>
        <w:t>ygn. KIO/KU 5/18).</w:t>
      </w:r>
    </w:p>
    <w:p w:rsidR="001431EA" w:rsidRPr="00B50F51" w:rsidRDefault="001431EA" w:rsidP="001431EA">
      <w:pPr>
        <w:spacing w:line="360" w:lineRule="auto"/>
        <w:ind w:firstLine="567"/>
        <w:jc w:val="both"/>
        <w:rPr>
          <w:rFonts w:ascii="Bookman Old Style" w:hAnsi="Bookman Old Style"/>
          <w:sz w:val="22"/>
          <w:szCs w:val="22"/>
        </w:rPr>
      </w:pPr>
      <w:r w:rsidRPr="00B50F51">
        <w:rPr>
          <w:rFonts w:ascii="Bookman Old Style" w:hAnsi="Bookman Old Style"/>
          <w:sz w:val="22"/>
          <w:szCs w:val="22"/>
        </w:rPr>
        <w:t>Niespójne zapisy SIWZ i ogłoszenia dotyczące złożenia dokumentów potwierdzających, że oferowane dostawy odpowiadają wymaganiom Zamawiającego naruszają art. 7 ust. 1 ustawy Prawo zamówień publicznych, tj. zasadę przejrzystości postępowania, równego traktowania wykonawców i uczciwej konkurencji. W</w:t>
      </w:r>
      <w:r w:rsidRPr="00B50F51">
        <w:rPr>
          <w:rFonts w:ascii="Bookman Old Style" w:hAnsi="Bookman Old Style" w:cs="Arial"/>
          <w:sz w:val="22"/>
          <w:szCs w:val="22"/>
        </w:rPr>
        <w:t>ykonawcy zapoznając się tylko z ogłoszeniem o zamówieniu (lub tylko z SIWZ) mogli podjąć decyzję o wzięciu udziału w postępowaniu albo - widząc zbyt małe szanse na wygranie postępowania - mogli podjąć decyzję o niebraniu udziału w postępowaniu. W związku z tym rozbieżność między ogłoszeniem o zamówieniu a SIWZ (w zakresie dokumentów, jakie wykonawcy zobowiązani byli złożyć) polegająca na tym, że w</w:t>
      </w:r>
      <w:r w:rsidR="00B856E2">
        <w:rPr>
          <w:rFonts w:ascii="Bookman Old Style" w:hAnsi="Bookman Old Style" w:cs="Arial"/>
          <w:sz w:val="22"/>
          <w:szCs w:val="22"/>
        </w:rPr>
        <w:t> </w:t>
      </w:r>
      <w:r w:rsidRPr="00B50F51">
        <w:rPr>
          <w:rFonts w:ascii="Bookman Old Style" w:hAnsi="Bookman Old Style" w:cs="Arial"/>
          <w:sz w:val="22"/>
          <w:szCs w:val="22"/>
        </w:rPr>
        <w:t>ogłoszeniu takiego opisu brak, a znajduje się on w SIWZ, nie może być uznana za niemającą wpływu na wynik postępowania. Nie można wykluczyć bowiem sytuacji, że istniały takie podmioty, które uznały na podstawie analizy SIWZ, że nie są zainteresowane braniem udziału w postępowaniu, gdyż nie będą w stanie wymaganych dokumentów złożyć (zob. wyrok Sądu Okręgowego w Łodzi z 8 listopada 2007 r., sygn. akt X Ga 337/07 oraz wyrok Krajowej Izby Odwoławczej z dnia 29</w:t>
      </w:r>
      <w:r w:rsidR="00B856E2">
        <w:rPr>
          <w:rFonts w:ascii="Bookman Old Style" w:hAnsi="Bookman Old Style" w:cs="Arial"/>
          <w:sz w:val="22"/>
          <w:szCs w:val="22"/>
        </w:rPr>
        <w:t> </w:t>
      </w:r>
      <w:r w:rsidRPr="00B50F51">
        <w:rPr>
          <w:rFonts w:ascii="Bookman Old Style" w:hAnsi="Bookman Old Style" w:cs="Arial"/>
          <w:sz w:val="22"/>
          <w:szCs w:val="22"/>
        </w:rPr>
        <w:t>stycznia 2014 r., sygn. KIO 49/14).</w:t>
      </w:r>
    </w:p>
    <w:p w:rsidR="001431EA" w:rsidRPr="00B50F51" w:rsidRDefault="001431EA" w:rsidP="001431EA">
      <w:pPr>
        <w:spacing w:line="360" w:lineRule="auto"/>
        <w:ind w:firstLine="567"/>
        <w:jc w:val="both"/>
        <w:rPr>
          <w:rFonts w:ascii="Bookman Old Style" w:hAnsi="Bookman Old Style"/>
          <w:sz w:val="22"/>
          <w:szCs w:val="22"/>
        </w:rPr>
      </w:pPr>
      <w:r w:rsidRPr="00B50F51">
        <w:rPr>
          <w:rFonts w:ascii="Bookman Old Style" w:hAnsi="Bookman Old Style" w:cs="Arial"/>
          <w:sz w:val="22"/>
          <w:szCs w:val="22"/>
        </w:rPr>
        <w:t xml:space="preserve">Ponieważ modyfikacja SIWZ (a więc i rezygnacja z opisanego w załączniku do SIWZ i odpowiedzi na pytanie wymogu złożenia oświadczenia producenta lub </w:t>
      </w:r>
      <w:r w:rsidRPr="00B50F51">
        <w:rPr>
          <w:rFonts w:ascii="Bookman Old Style" w:hAnsi="Bookman Old Style" w:cs="Arial"/>
          <w:sz w:val="22"/>
          <w:szCs w:val="22"/>
        </w:rPr>
        <w:lastRenderedPageBreak/>
        <w:t>wykonawcy) możliwa była tylko do upływu terminu składania ofert, zatem wadę postępowania, na obecnym jego etapie, należy uznać nie tylko za istotną w stopniu, który mógł wywrzeć wpływ na wynik postępowania, ale i za nieusuwalną.</w:t>
      </w:r>
    </w:p>
    <w:p w:rsidR="001431EA" w:rsidRPr="00B50F51" w:rsidRDefault="001431EA" w:rsidP="001431EA">
      <w:pPr>
        <w:spacing w:line="360" w:lineRule="auto"/>
        <w:ind w:firstLine="567"/>
        <w:jc w:val="both"/>
        <w:rPr>
          <w:rFonts w:ascii="Bookman Old Style" w:hAnsi="Bookman Old Style"/>
          <w:sz w:val="22"/>
          <w:szCs w:val="22"/>
        </w:rPr>
      </w:pPr>
      <w:r w:rsidRPr="00B50F51">
        <w:rPr>
          <w:rFonts w:ascii="Bookman Old Style" w:hAnsi="Bookman Old Style"/>
          <w:bCs/>
          <w:spacing w:val="-1"/>
          <w:sz w:val="22"/>
          <w:szCs w:val="22"/>
        </w:rPr>
        <w:t xml:space="preserve">W związku z powyższym </w:t>
      </w:r>
      <w:r>
        <w:rPr>
          <w:rFonts w:ascii="Bookman Old Style" w:hAnsi="Bookman Old Style"/>
          <w:sz w:val="22"/>
          <w:szCs w:val="22"/>
        </w:rPr>
        <w:t xml:space="preserve">Zamawiający podjął decyzję o </w:t>
      </w:r>
      <w:r w:rsidRPr="00B50F51">
        <w:rPr>
          <w:rFonts w:ascii="Bookman Old Style" w:hAnsi="Bookman Old Style"/>
          <w:sz w:val="22"/>
          <w:szCs w:val="22"/>
        </w:rPr>
        <w:t>unieważnieni</w:t>
      </w:r>
      <w:r>
        <w:rPr>
          <w:rFonts w:ascii="Bookman Old Style" w:hAnsi="Bookman Old Style"/>
          <w:sz w:val="22"/>
          <w:szCs w:val="22"/>
        </w:rPr>
        <w:t>u</w:t>
      </w:r>
      <w:r w:rsidRPr="00B50F51">
        <w:rPr>
          <w:rFonts w:ascii="Bookman Old Style" w:hAnsi="Bookman Old Style"/>
          <w:sz w:val="22"/>
          <w:szCs w:val="22"/>
        </w:rPr>
        <w:t xml:space="preserve"> Zadania</w:t>
      </w:r>
      <w:r>
        <w:rPr>
          <w:rFonts w:ascii="Bookman Old Style" w:hAnsi="Bookman Old Style"/>
          <w:sz w:val="22"/>
          <w:szCs w:val="22"/>
        </w:rPr>
        <w:t> </w:t>
      </w:r>
      <w:r w:rsidRPr="00B50F51">
        <w:rPr>
          <w:rFonts w:ascii="Bookman Old Style" w:hAnsi="Bookman Old Style"/>
          <w:sz w:val="22"/>
          <w:szCs w:val="22"/>
        </w:rPr>
        <w:t>I na podstawie art. 93 ust. 1 pkt 7) ustawy Prawo zamówień publicznych.</w:t>
      </w:r>
    </w:p>
    <w:p w:rsidR="001431EA" w:rsidRPr="00B50F51" w:rsidRDefault="001431EA" w:rsidP="001431EA">
      <w:pPr>
        <w:autoSpaceDE w:val="0"/>
        <w:autoSpaceDN w:val="0"/>
        <w:adjustRightInd w:val="0"/>
        <w:spacing w:line="360" w:lineRule="auto"/>
        <w:ind w:firstLine="567"/>
        <w:jc w:val="both"/>
        <w:rPr>
          <w:rFonts w:ascii="Bookman Old Style" w:hAnsi="Bookman Old Style"/>
          <w:color w:val="000000"/>
          <w:sz w:val="22"/>
          <w:szCs w:val="22"/>
        </w:rPr>
      </w:pPr>
      <w:r w:rsidRPr="00B50F51">
        <w:rPr>
          <w:rFonts w:ascii="Bookman Old Style" w:hAnsi="Bookman Old Style"/>
          <w:color w:val="000000"/>
          <w:sz w:val="22"/>
          <w:szCs w:val="22"/>
        </w:rPr>
        <w:t>Zgodnie z treścią ww. przepisu Zamawiający unieważnia postępowanie o udzielenie zamówienia, jeżeli postępowanie obarczone jest niemożliwą do usunięcia wadą uniemożliwiającą zawarcie niepodlegającej unieważnieniu umowy w sprawie zamówienia publicznego.</w:t>
      </w:r>
    </w:p>
    <w:p w:rsidR="001431EA" w:rsidRPr="00B50F51" w:rsidRDefault="001431EA" w:rsidP="001431EA">
      <w:pPr>
        <w:spacing w:line="360" w:lineRule="auto"/>
        <w:ind w:firstLine="567"/>
        <w:jc w:val="both"/>
        <w:rPr>
          <w:rFonts w:ascii="Bookman Old Style" w:hAnsi="Bookman Old Style"/>
          <w:bCs/>
          <w:spacing w:val="-1"/>
          <w:sz w:val="22"/>
          <w:szCs w:val="22"/>
        </w:rPr>
      </w:pPr>
    </w:p>
    <w:p w:rsidR="001431EA" w:rsidRPr="00B50F51" w:rsidRDefault="001431EA" w:rsidP="001431EA">
      <w:pPr>
        <w:spacing w:line="360" w:lineRule="auto"/>
        <w:jc w:val="both"/>
        <w:rPr>
          <w:rFonts w:ascii="Bookman Old Style" w:hAnsi="Bookman Old Style"/>
          <w:b/>
          <w:bCs/>
          <w:spacing w:val="-1"/>
          <w:sz w:val="22"/>
          <w:szCs w:val="22"/>
        </w:rPr>
      </w:pPr>
      <w:r w:rsidRPr="00B50F51">
        <w:rPr>
          <w:rFonts w:ascii="Bookman Old Style" w:hAnsi="Bookman Old Style"/>
          <w:b/>
          <w:bCs/>
          <w:spacing w:val="-1"/>
          <w:sz w:val="22"/>
          <w:szCs w:val="22"/>
        </w:rPr>
        <w:t>Zadanie II:</w:t>
      </w:r>
    </w:p>
    <w:p w:rsidR="001431EA" w:rsidRPr="00B50F51" w:rsidRDefault="001431EA" w:rsidP="001431EA">
      <w:pPr>
        <w:spacing w:line="360" w:lineRule="auto"/>
        <w:ind w:firstLine="708"/>
        <w:jc w:val="both"/>
        <w:rPr>
          <w:rFonts w:ascii="Bookman Old Style" w:hAnsi="Bookman Old Style"/>
          <w:sz w:val="21"/>
          <w:szCs w:val="21"/>
        </w:rPr>
      </w:pPr>
      <w:r w:rsidRPr="00B50F51">
        <w:rPr>
          <w:rFonts w:ascii="Bookman Old Style" w:hAnsi="Bookman Old Style"/>
          <w:sz w:val="21"/>
          <w:szCs w:val="21"/>
        </w:rPr>
        <w:t>W związku z tym, że cena złożonej oferty znacznie przewyższa kwotę, jaką Zamawiający zamierzał przeznaczyć na sfinansowanie Zadania II</w:t>
      </w:r>
      <w:r>
        <w:rPr>
          <w:rFonts w:ascii="Bookman Old Style" w:hAnsi="Bookman Old Style"/>
          <w:sz w:val="21"/>
          <w:szCs w:val="21"/>
        </w:rPr>
        <w:t>,</w:t>
      </w:r>
      <w:r w:rsidRPr="00B50F51">
        <w:rPr>
          <w:rFonts w:ascii="Bookman Old Style" w:hAnsi="Bookman Old Style"/>
          <w:sz w:val="21"/>
          <w:szCs w:val="21"/>
        </w:rPr>
        <w:t xml:space="preserve"> </w:t>
      </w:r>
      <w:r>
        <w:rPr>
          <w:rFonts w:ascii="Bookman Old Style" w:hAnsi="Bookman Old Style"/>
          <w:sz w:val="22"/>
          <w:szCs w:val="22"/>
        </w:rPr>
        <w:t xml:space="preserve">Zamawiający podjął decyzję o jego </w:t>
      </w:r>
      <w:r w:rsidRPr="00B50F51">
        <w:rPr>
          <w:rFonts w:ascii="Bookman Old Style" w:hAnsi="Bookman Old Style"/>
          <w:sz w:val="22"/>
          <w:szCs w:val="22"/>
        </w:rPr>
        <w:t>unieważnieni</w:t>
      </w:r>
      <w:r>
        <w:rPr>
          <w:rFonts w:ascii="Bookman Old Style" w:hAnsi="Bookman Old Style"/>
          <w:sz w:val="22"/>
          <w:szCs w:val="22"/>
        </w:rPr>
        <w:t>u</w:t>
      </w:r>
      <w:r w:rsidRPr="00B50F51">
        <w:rPr>
          <w:rFonts w:ascii="Bookman Old Style" w:hAnsi="Bookman Old Style"/>
          <w:sz w:val="21"/>
          <w:szCs w:val="21"/>
        </w:rPr>
        <w:t xml:space="preserve"> z przyczyn ekonomicznych na podstawie art.</w:t>
      </w:r>
      <w:r>
        <w:rPr>
          <w:rFonts w:ascii="Bookman Old Style" w:hAnsi="Bookman Old Style"/>
          <w:sz w:val="21"/>
          <w:szCs w:val="21"/>
        </w:rPr>
        <w:t xml:space="preserve"> </w:t>
      </w:r>
      <w:r w:rsidRPr="00B50F51">
        <w:rPr>
          <w:rFonts w:ascii="Bookman Old Style" w:hAnsi="Bookman Old Style"/>
          <w:sz w:val="21"/>
          <w:szCs w:val="21"/>
        </w:rPr>
        <w:t>93 ust. 1 pkt</w:t>
      </w:r>
      <w:r w:rsidR="00B856E2">
        <w:rPr>
          <w:rFonts w:ascii="Bookman Old Style" w:hAnsi="Bookman Old Style"/>
          <w:sz w:val="21"/>
          <w:szCs w:val="21"/>
        </w:rPr>
        <w:t> </w:t>
      </w:r>
      <w:bookmarkStart w:id="0" w:name="_GoBack"/>
      <w:bookmarkEnd w:id="0"/>
      <w:r w:rsidRPr="00B50F51">
        <w:rPr>
          <w:rFonts w:ascii="Bookman Old Style" w:hAnsi="Bookman Old Style"/>
          <w:sz w:val="21"/>
          <w:szCs w:val="21"/>
        </w:rPr>
        <w:t>4) ustawy Prawo zamówień publicznych. Zgodnie z treścią przedmiotowego przepisu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w:t>
      </w:r>
    </w:p>
    <w:p w:rsidR="005B743C" w:rsidRPr="00884ABF" w:rsidRDefault="005B743C" w:rsidP="001431EA">
      <w:pPr>
        <w:pStyle w:val="Default"/>
        <w:spacing w:line="360" w:lineRule="auto"/>
        <w:ind w:firstLine="567"/>
        <w:jc w:val="both"/>
        <w:rPr>
          <w:rFonts w:ascii="Bookman Old Style" w:hAnsi="Bookman Old Style"/>
          <w:sz w:val="22"/>
          <w:szCs w:val="22"/>
        </w:rPr>
      </w:pPr>
    </w:p>
    <w:sectPr w:rsidR="005B743C" w:rsidRPr="00884ABF" w:rsidSect="00B856E2">
      <w:footerReference w:type="default" r:id="rId8"/>
      <w:pgSz w:w="11906" w:h="16838"/>
      <w:pgMar w:top="1276"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10" w:rsidRDefault="00321910">
      <w:r>
        <w:separator/>
      </w:r>
    </w:p>
  </w:endnote>
  <w:endnote w:type="continuationSeparator" w:id="0">
    <w:p w:rsidR="00321910" w:rsidRDefault="0032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BA" w:rsidRPr="00AB6CBA" w:rsidRDefault="00AB6CBA">
    <w:pPr>
      <w:pStyle w:val="Stopka"/>
      <w:jc w:val="right"/>
      <w:rPr>
        <w:rFonts w:ascii="Bookman Old Style" w:hAnsi="Bookman Old Style"/>
        <w:sz w:val="20"/>
        <w:szCs w:val="20"/>
      </w:rPr>
    </w:pPr>
  </w:p>
  <w:p w:rsidR="00362EB7" w:rsidRDefault="003219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10" w:rsidRDefault="00321910">
      <w:r>
        <w:separator/>
      </w:r>
    </w:p>
  </w:footnote>
  <w:footnote w:type="continuationSeparator" w:id="0">
    <w:p w:rsidR="00321910" w:rsidRDefault="0032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D41"/>
    <w:multiLevelType w:val="hybridMultilevel"/>
    <w:tmpl w:val="C8260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474016"/>
    <w:multiLevelType w:val="hybridMultilevel"/>
    <w:tmpl w:val="602AACA8"/>
    <w:lvl w:ilvl="0" w:tplc="0E9845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025AA4"/>
    <w:multiLevelType w:val="hybridMultilevel"/>
    <w:tmpl w:val="B3707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35207"/>
    <w:multiLevelType w:val="hybridMultilevel"/>
    <w:tmpl w:val="C0422570"/>
    <w:lvl w:ilvl="0" w:tplc="7AAC9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B81E97"/>
    <w:multiLevelType w:val="hybridMultilevel"/>
    <w:tmpl w:val="10144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203543"/>
    <w:multiLevelType w:val="hybridMultilevel"/>
    <w:tmpl w:val="F99A0C0A"/>
    <w:lvl w:ilvl="0" w:tplc="510A7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002FAA"/>
    <w:multiLevelType w:val="hybridMultilevel"/>
    <w:tmpl w:val="B4081FE8"/>
    <w:lvl w:ilvl="0" w:tplc="81A28D0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16F7E"/>
    <w:multiLevelType w:val="hybridMultilevel"/>
    <w:tmpl w:val="9A4AA580"/>
    <w:lvl w:ilvl="0" w:tplc="9ABCB7E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C41F17"/>
    <w:multiLevelType w:val="hybridMultilevel"/>
    <w:tmpl w:val="ACC23A26"/>
    <w:lvl w:ilvl="0" w:tplc="CB0290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EC175B"/>
    <w:multiLevelType w:val="hybridMultilevel"/>
    <w:tmpl w:val="4AD4F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C144C"/>
    <w:multiLevelType w:val="hybridMultilevel"/>
    <w:tmpl w:val="38D6B7B8"/>
    <w:lvl w:ilvl="0" w:tplc="962CB54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845768"/>
    <w:multiLevelType w:val="hybridMultilevel"/>
    <w:tmpl w:val="470E58E6"/>
    <w:lvl w:ilvl="0" w:tplc="9F6EC208">
      <w:start w:val="1"/>
      <w:numFmt w:val="decimal"/>
      <w:lvlText w:val="%1)"/>
      <w:lvlJc w:val="left"/>
      <w:pPr>
        <w:ind w:left="720" w:hanging="360"/>
      </w:pPr>
      <w:rPr>
        <w:b w:val="0"/>
      </w:rPr>
    </w:lvl>
    <w:lvl w:ilvl="1" w:tplc="DEC0E6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A1C64"/>
    <w:multiLevelType w:val="hybridMultilevel"/>
    <w:tmpl w:val="7A4C5922"/>
    <w:lvl w:ilvl="0" w:tplc="7908C97E">
      <w:start w:val="1"/>
      <w:numFmt w:val="decimal"/>
      <w:lvlText w:val="%1)"/>
      <w:lvlJc w:val="left"/>
      <w:pPr>
        <w:ind w:left="643" w:hanging="360"/>
      </w:pPr>
      <w:rPr>
        <w:rFonts w:ascii="Bookman Old Style" w:eastAsia="Times New Roman" w:hAnsi="Bookman Old Style" w:cs="Times New Roman"/>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38F71913"/>
    <w:multiLevelType w:val="hybridMultilevel"/>
    <w:tmpl w:val="3DB6E7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6765"/>
    <w:multiLevelType w:val="hybridMultilevel"/>
    <w:tmpl w:val="04465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45A0A"/>
    <w:multiLevelType w:val="hybridMultilevel"/>
    <w:tmpl w:val="134EF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F5FF2"/>
    <w:multiLevelType w:val="hybridMultilevel"/>
    <w:tmpl w:val="D0F04874"/>
    <w:lvl w:ilvl="0" w:tplc="5A90D7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A35B8E"/>
    <w:multiLevelType w:val="hybridMultilevel"/>
    <w:tmpl w:val="3000EF64"/>
    <w:lvl w:ilvl="0" w:tplc="69C2BE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4273AC"/>
    <w:multiLevelType w:val="hybridMultilevel"/>
    <w:tmpl w:val="134EF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C6249"/>
    <w:multiLevelType w:val="hybridMultilevel"/>
    <w:tmpl w:val="6C683E26"/>
    <w:lvl w:ilvl="0" w:tplc="95289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8252EB"/>
    <w:multiLevelType w:val="hybridMultilevel"/>
    <w:tmpl w:val="02326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0409F"/>
    <w:multiLevelType w:val="hybridMultilevel"/>
    <w:tmpl w:val="F28C9214"/>
    <w:lvl w:ilvl="0" w:tplc="A89291E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F13A14"/>
    <w:multiLevelType w:val="hybridMultilevel"/>
    <w:tmpl w:val="5564635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06A25F7"/>
    <w:multiLevelType w:val="hybridMultilevel"/>
    <w:tmpl w:val="3C8A0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329C9"/>
    <w:multiLevelType w:val="hybridMultilevel"/>
    <w:tmpl w:val="A7DAC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8135A"/>
    <w:multiLevelType w:val="hybridMultilevel"/>
    <w:tmpl w:val="0B2E490E"/>
    <w:lvl w:ilvl="0" w:tplc="04150011">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54115A6B"/>
    <w:multiLevelType w:val="hybridMultilevel"/>
    <w:tmpl w:val="54941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96123B"/>
    <w:multiLevelType w:val="hybridMultilevel"/>
    <w:tmpl w:val="E6C6D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DD136E"/>
    <w:multiLevelType w:val="hybridMultilevel"/>
    <w:tmpl w:val="2F924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6548BA"/>
    <w:multiLevelType w:val="hybridMultilevel"/>
    <w:tmpl w:val="AB729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83F60"/>
    <w:multiLevelType w:val="hybridMultilevel"/>
    <w:tmpl w:val="0B30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7028C"/>
    <w:multiLevelType w:val="hybridMultilevel"/>
    <w:tmpl w:val="BAFE1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EE23C6"/>
    <w:multiLevelType w:val="hybridMultilevel"/>
    <w:tmpl w:val="2E8C31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83D6E"/>
    <w:multiLevelType w:val="hybridMultilevel"/>
    <w:tmpl w:val="A6B273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327A8D"/>
    <w:multiLevelType w:val="hybridMultilevel"/>
    <w:tmpl w:val="526A0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B24263"/>
    <w:multiLevelType w:val="hybridMultilevel"/>
    <w:tmpl w:val="DF925D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B655C"/>
    <w:multiLevelType w:val="hybridMultilevel"/>
    <w:tmpl w:val="4F54A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AB48AB"/>
    <w:multiLevelType w:val="hybridMultilevel"/>
    <w:tmpl w:val="9832307A"/>
    <w:lvl w:ilvl="0" w:tplc="2B2A52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725E53"/>
    <w:multiLevelType w:val="hybridMultilevel"/>
    <w:tmpl w:val="8D2EB848"/>
    <w:lvl w:ilvl="0" w:tplc="310853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7"/>
  </w:num>
  <w:num w:numId="8">
    <w:abstractNumId w:val="10"/>
  </w:num>
  <w:num w:numId="9">
    <w:abstractNumId w:val="21"/>
  </w:num>
  <w:num w:numId="10">
    <w:abstractNumId w:val="30"/>
  </w:num>
  <w:num w:numId="11">
    <w:abstractNumId w:val="34"/>
  </w:num>
  <w:num w:numId="12">
    <w:abstractNumId w:val="27"/>
  </w:num>
  <w:num w:numId="13">
    <w:abstractNumId w:val="0"/>
  </w:num>
  <w:num w:numId="14">
    <w:abstractNumId w:val="6"/>
  </w:num>
  <w:num w:numId="15">
    <w:abstractNumId w:val="16"/>
  </w:num>
  <w:num w:numId="16">
    <w:abstractNumId w:val="22"/>
  </w:num>
  <w:num w:numId="17">
    <w:abstractNumId w:val="13"/>
  </w:num>
  <w:num w:numId="18">
    <w:abstractNumId w:val="3"/>
  </w:num>
  <w:num w:numId="19">
    <w:abstractNumId w:val="17"/>
  </w:num>
  <w:num w:numId="20">
    <w:abstractNumId w:val="24"/>
  </w:num>
  <w:num w:numId="21">
    <w:abstractNumId w:val="5"/>
  </w:num>
  <w:num w:numId="22">
    <w:abstractNumId w:val="14"/>
  </w:num>
  <w:num w:numId="23">
    <w:abstractNumId w:val="32"/>
  </w:num>
  <w:num w:numId="24">
    <w:abstractNumId w:val="29"/>
  </w:num>
  <w:num w:numId="25">
    <w:abstractNumId w:val="20"/>
  </w:num>
  <w:num w:numId="26">
    <w:abstractNumId w:val="36"/>
  </w:num>
  <w:num w:numId="27">
    <w:abstractNumId w:val="8"/>
  </w:num>
  <w:num w:numId="28">
    <w:abstractNumId w:val="23"/>
  </w:num>
  <w:num w:numId="29">
    <w:abstractNumId w:val="28"/>
  </w:num>
  <w:num w:numId="30">
    <w:abstractNumId w:val="33"/>
  </w:num>
  <w:num w:numId="31">
    <w:abstractNumId w:val="35"/>
  </w:num>
  <w:num w:numId="32">
    <w:abstractNumId w:val="31"/>
  </w:num>
  <w:num w:numId="33">
    <w:abstractNumId w:val="15"/>
  </w:num>
  <w:num w:numId="34">
    <w:abstractNumId w:val="18"/>
  </w:num>
  <w:num w:numId="35">
    <w:abstractNumId w:val="9"/>
  </w:num>
  <w:num w:numId="36">
    <w:abstractNumId w:val="2"/>
  </w:num>
  <w:num w:numId="37">
    <w:abstractNumId w:val="11"/>
  </w:num>
  <w:num w:numId="38">
    <w:abstractNumId w:val="38"/>
  </w:num>
  <w:num w:numId="39">
    <w:abstractNumId w:val="37"/>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3C"/>
    <w:rsid w:val="00000657"/>
    <w:rsid w:val="00001720"/>
    <w:rsid w:val="00043937"/>
    <w:rsid w:val="000C33E4"/>
    <w:rsid w:val="000E1E8A"/>
    <w:rsid w:val="000F1C25"/>
    <w:rsid w:val="000F5015"/>
    <w:rsid w:val="001172E8"/>
    <w:rsid w:val="0012263B"/>
    <w:rsid w:val="001431EA"/>
    <w:rsid w:val="001D0271"/>
    <w:rsid w:val="001E102A"/>
    <w:rsid w:val="00283C38"/>
    <w:rsid w:val="002F01DF"/>
    <w:rsid w:val="00321910"/>
    <w:rsid w:val="00356C38"/>
    <w:rsid w:val="0039437A"/>
    <w:rsid w:val="004550D3"/>
    <w:rsid w:val="00465BC2"/>
    <w:rsid w:val="004B679F"/>
    <w:rsid w:val="0051201E"/>
    <w:rsid w:val="00552B51"/>
    <w:rsid w:val="005919AF"/>
    <w:rsid w:val="005B743C"/>
    <w:rsid w:val="00643D85"/>
    <w:rsid w:val="00655C95"/>
    <w:rsid w:val="00686BA6"/>
    <w:rsid w:val="006910DF"/>
    <w:rsid w:val="006F3816"/>
    <w:rsid w:val="00762529"/>
    <w:rsid w:val="00856070"/>
    <w:rsid w:val="00881FFB"/>
    <w:rsid w:val="00884ABF"/>
    <w:rsid w:val="008E568A"/>
    <w:rsid w:val="00962F10"/>
    <w:rsid w:val="009C4960"/>
    <w:rsid w:val="00A37438"/>
    <w:rsid w:val="00A957FA"/>
    <w:rsid w:val="00AB6CBA"/>
    <w:rsid w:val="00B563AC"/>
    <w:rsid w:val="00B856E2"/>
    <w:rsid w:val="00B927E7"/>
    <w:rsid w:val="00BB3FF2"/>
    <w:rsid w:val="00BD14D3"/>
    <w:rsid w:val="00BE6EC8"/>
    <w:rsid w:val="00BF016C"/>
    <w:rsid w:val="00BF6DB5"/>
    <w:rsid w:val="00C16CDC"/>
    <w:rsid w:val="00C94748"/>
    <w:rsid w:val="00D13053"/>
    <w:rsid w:val="00D249FC"/>
    <w:rsid w:val="00D903B8"/>
    <w:rsid w:val="00DD0B42"/>
    <w:rsid w:val="00DD6A25"/>
    <w:rsid w:val="00E316A7"/>
    <w:rsid w:val="00E71728"/>
    <w:rsid w:val="00EB4007"/>
    <w:rsid w:val="00F15C1B"/>
    <w:rsid w:val="00F72D0F"/>
    <w:rsid w:val="00F93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6B58-93CF-4E40-A15E-E5E4081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4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B743C"/>
    <w:pPr>
      <w:spacing w:before="100" w:beforeAutospacing="1" w:after="100" w:afterAutospacing="1"/>
    </w:pPr>
  </w:style>
  <w:style w:type="paragraph" w:styleId="Stopka">
    <w:name w:val="footer"/>
    <w:basedOn w:val="Normalny"/>
    <w:link w:val="StopkaZnak"/>
    <w:uiPriority w:val="99"/>
    <w:rsid w:val="005B743C"/>
    <w:pPr>
      <w:tabs>
        <w:tab w:val="center" w:pos="4536"/>
        <w:tab w:val="right" w:pos="9072"/>
      </w:tabs>
    </w:pPr>
  </w:style>
  <w:style w:type="character" w:customStyle="1" w:styleId="StopkaZnak">
    <w:name w:val="Stopka Znak"/>
    <w:basedOn w:val="Domylnaczcionkaakapitu"/>
    <w:link w:val="Stopka"/>
    <w:uiPriority w:val="99"/>
    <w:rsid w:val="005B743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6CBA"/>
    <w:pPr>
      <w:tabs>
        <w:tab w:val="center" w:pos="4536"/>
        <w:tab w:val="right" w:pos="9072"/>
      </w:tabs>
    </w:pPr>
  </w:style>
  <w:style w:type="character" w:customStyle="1" w:styleId="NagwekZnak">
    <w:name w:val="Nagłówek Znak"/>
    <w:basedOn w:val="Domylnaczcionkaakapitu"/>
    <w:link w:val="Nagwek"/>
    <w:uiPriority w:val="99"/>
    <w:rsid w:val="00AB6C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3F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FF2"/>
    <w:rPr>
      <w:rFonts w:ascii="Segoe UI" w:eastAsia="Times New Roman" w:hAnsi="Segoe UI" w:cs="Segoe UI"/>
      <w:sz w:val="18"/>
      <w:szCs w:val="18"/>
      <w:lang w:eastAsia="pl-PL"/>
    </w:rPr>
  </w:style>
  <w:style w:type="paragraph" w:styleId="Akapitzlist">
    <w:name w:val="List Paragraph"/>
    <w:basedOn w:val="Normalny"/>
    <w:uiPriority w:val="34"/>
    <w:qFormat/>
    <w:rsid w:val="00283C38"/>
    <w:pPr>
      <w:ind w:left="720"/>
      <w:contextualSpacing/>
    </w:pPr>
  </w:style>
  <w:style w:type="paragraph" w:styleId="Bezodstpw">
    <w:name w:val="No Spacing"/>
    <w:link w:val="BezodstpwZnak"/>
    <w:qFormat/>
    <w:rsid w:val="00E71728"/>
    <w:pPr>
      <w:spacing w:after="0" w:line="240" w:lineRule="auto"/>
    </w:pPr>
    <w:rPr>
      <w:rFonts w:ascii="Calibri" w:eastAsia="Times New Roman" w:hAnsi="Calibri" w:cs="Times New Roman"/>
    </w:rPr>
  </w:style>
  <w:style w:type="character" w:customStyle="1" w:styleId="BezodstpwZnak">
    <w:name w:val="Bez odstępów Znak"/>
    <w:link w:val="Bezodstpw"/>
    <w:rsid w:val="00E71728"/>
    <w:rPr>
      <w:rFonts w:ascii="Calibri" w:eastAsia="Times New Roman" w:hAnsi="Calibri" w:cs="Times New Roman"/>
    </w:rPr>
  </w:style>
  <w:style w:type="paragraph" w:customStyle="1" w:styleId="Default">
    <w:name w:val="Default"/>
    <w:rsid w:val="004B67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UM</cp:lastModifiedBy>
  <cp:revision>18</cp:revision>
  <cp:lastPrinted>2018-01-18T13:07:00Z</cp:lastPrinted>
  <dcterms:created xsi:type="dcterms:W3CDTF">2018-01-18T13:02:00Z</dcterms:created>
  <dcterms:modified xsi:type="dcterms:W3CDTF">2019-02-18T14:08:00Z</dcterms:modified>
</cp:coreProperties>
</file>